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B26879">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B26879">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B26879">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B26879">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B26879">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B26879">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B26879">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B26879">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B26879">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B26879">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B26879">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B26879">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B26879">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B26879">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B26879">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B26879">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B26879">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B26879">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B26879">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B26879">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B26879">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B26879">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B26879">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B26879">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B26879">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B26879">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B26879">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B26879">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B26879">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B26879">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B26879">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B26879">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B26879">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B26879">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B26879">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B26879">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7C2F83CA"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Teoria da Percolação. Por outras palavras, baseados na Teoria da Percolação,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87" w:name="_Toc47384656"/>
      <w:r w:rsidRPr="0050469B">
        <w:t xml:space="preserve">6.1 </w:t>
      </w:r>
      <w:r w:rsidR="008400B6">
        <w:t>O</w:t>
      </w:r>
      <w:r w:rsidRPr="0050469B">
        <w:t xml:space="preserve"> contexto da PoC e suas redes de conhecimento</w:t>
      </w:r>
      <w:bookmarkEnd w:id="1787"/>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proofErr w:type="spellStart"/>
      <w:r>
        <w:t>the</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w:t>
      </w:r>
      <w:proofErr w:type="spellStart"/>
      <w:r>
        <w:t>knowledge</w:t>
      </w:r>
      <w:proofErr w:type="spellEnd"/>
      <w:r>
        <w:t xml:space="preserve"> in </w:t>
      </w:r>
      <w:proofErr w:type="spellStart"/>
      <w:r>
        <w:t>the</w:t>
      </w:r>
      <w:proofErr w:type="spellEnd"/>
      <w:r>
        <w:t xml:space="preserve"> context </w:t>
      </w:r>
      <w:proofErr w:type="spellStart"/>
      <w:r>
        <w:t>of</w:t>
      </w:r>
      <w:proofErr w:type="spellEnd"/>
      <w:r>
        <w:t xml:space="preserve"> PoC </w:t>
      </w:r>
      <w:proofErr w:type="spellStart"/>
      <w:r>
        <w:t>did</w:t>
      </w:r>
      <w:proofErr w:type="spellEnd"/>
      <w:r>
        <w:t xml:space="preserve"> </w:t>
      </w:r>
      <w:proofErr w:type="spellStart"/>
      <w:r>
        <w:t>not</w:t>
      </w:r>
      <w:proofErr w:type="spellEnd"/>
      <w:r>
        <w:t xml:space="preserve"> </w:t>
      </w:r>
      <w:proofErr w:type="spellStart"/>
      <w:r>
        <w:t>occur</w:t>
      </w:r>
      <w:proofErr w:type="spellEnd"/>
      <w:r>
        <w:t xml:space="preserve"> </w:t>
      </w:r>
      <w:proofErr w:type="spellStart"/>
      <w:r>
        <w:t>only</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PoC </w:t>
      </w:r>
      <w:proofErr w:type="spellStart"/>
      <w:r>
        <w:t>activity</w:t>
      </w:r>
      <w:proofErr w:type="spellEnd"/>
      <w:r>
        <w:t xml:space="preserve">. </w:t>
      </w:r>
      <w:proofErr w:type="spellStart"/>
      <w:r>
        <w:t>Instead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occurred</w:t>
      </w:r>
      <w:proofErr w:type="spellEnd"/>
      <w:r>
        <w:t xml:space="preserve"> in </w:t>
      </w:r>
      <w:proofErr w:type="spellStart"/>
      <w:r>
        <w:t>different</w:t>
      </w:r>
      <w:proofErr w:type="spellEnd"/>
      <w:r>
        <w:t xml:space="preserve"> </w:t>
      </w:r>
      <w:proofErr w:type="spellStart"/>
      <w:r>
        <w:t>learning</w:t>
      </w:r>
      <w:proofErr w:type="spellEnd"/>
      <w:r>
        <w:t xml:space="preserve"> </w:t>
      </w:r>
      <w:proofErr w:type="spellStart"/>
      <w:r>
        <w:t>circles</w:t>
      </w:r>
      <w:proofErr w:type="spellEnd"/>
      <w:r>
        <w:t xml:space="preserve"> (</w:t>
      </w:r>
      <w:proofErr w:type="spellStart"/>
      <w:r>
        <w:t>based</w:t>
      </w:r>
      <w:proofErr w:type="spellEnd"/>
      <w:r>
        <w:t xml:space="preserve"> </w:t>
      </w:r>
      <w:proofErr w:type="spellStart"/>
      <w:r>
        <w:t>on</w:t>
      </w:r>
      <w:proofErr w:type="spellEnd"/>
      <w:r>
        <w:t xml:space="preserve"> </w:t>
      </w:r>
      <w:proofErr w:type="spellStart"/>
      <w:r>
        <w:t>hermeneutic</w:t>
      </w:r>
      <w:proofErr w:type="spellEnd"/>
      <w:r>
        <w:t xml:space="preserve"> </w:t>
      </w:r>
      <w:proofErr w:type="spellStart"/>
      <w:r>
        <w:t>circles</w:t>
      </w:r>
      <w:proofErr w:type="spellEnd"/>
      <w:r>
        <w:t xml:space="preserve">) as </w:t>
      </w:r>
      <w:proofErr w:type="spellStart"/>
      <w:r>
        <w:t>an</w:t>
      </w:r>
      <w:proofErr w:type="spellEnd"/>
      <w:r>
        <w:t xml:space="preserve"> </w:t>
      </w:r>
      <w:proofErr w:type="spellStart"/>
      <w:r>
        <w:t>intrinsic</w:t>
      </w:r>
      <w:proofErr w:type="spellEnd"/>
      <w:r>
        <w:t xml:space="preserve"> connection </w:t>
      </w:r>
      <w:proofErr w:type="spellStart"/>
      <w:r>
        <w:t>to</w:t>
      </w:r>
      <w:proofErr w:type="spellEnd"/>
      <w:r>
        <w:t xml:space="preserve"> </w:t>
      </w:r>
      <w:proofErr w:type="spellStart"/>
      <w:r>
        <w:t>the</w:t>
      </w:r>
      <w:proofErr w:type="spellEnd"/>
      <w:r>
        <w:t xml:space="preserve"> context. It </w:t>
      </w:r>
      <w:proofErr w:type="spellStart"/>
      <w:r>
        <w:t>is</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of</w:t>
      </w:r>
      <w:proofErr w:type="spellEnd"/>
      <w:r>
        <w:t xml:space="preserve"> </w:t>
      </w:r>
      <w:proofErr w:type="spellStart"/>
      <w:r>
        <w:t>the</w:t>
      </w:r>
      <w:proofErr w:type="spellEnd"/>
      <w:r>
        <w:t xml:space="preserve"> context </w:t>
      </w:r>
      <w:proofErr w:type="spellStart"/>
      <w:r>
        <w:t>that</w:t>
      </w:r>
      <w:proofErr w:type="spellEnd"/>
      <w:r>
        <w:t xml:space="preserve"> </w:t>
      </w:r>
      <w:proofErr w:type="spellStart"/>
      <w:r>
        <w:t>allows</w:t>
      </w:r>
      <w:proofErr w:type="spellEnd"/>
      <w:r>
        <w:t xml:space="preserve"> PoC </w:t>
      </w:r>
      <w:proofErr w:type="spellStart"/>
      <w:r>
        <w:t>practitioners</w:t>
      </w:r>
      <w:proofErr w:type="spellEnd"/>
      <w:r>
        <w:t xml:space="preserve"> </w:t>
      </w:r>
      <w:proofErr w:type="spellStart"/>
      <w:r>
        <w:t>to</w:t>
      </w:r>
      <w:proofErr w:type="spellEnd"/>
      <w:r>
        <w:t xml:space="preserve"> </w:t>
      </w:r>
      <w:proofErr w:type="spellStart"/>
      <w:r>
        <w:t>comprehend</w:t>
      </w:r>
      <w:proofErr w:type="spellEnd"/>
      <w:r>
        <w:t xml:space="preserve"> </w:t>
      </w:r>
      <w:proofErr w:type="spellStart"/>
      <w:r>
        <w:t>the</w:t>
      </w:r>
      <w:proofErr w:type="spellEnd"/>
      <w:r>
        <w:t xml:space="preserve"> </w:t>
      </w:r>
      <w:proofErr w:type="spellStart"/>
      <w:r>
        <w:t>construction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cycles</w:t>
      </w:r>
      <w:proofErr w:type="spellEnd"/>
      <w:r>
        <w:t xml:space="preserve"> </w:t>
      </w:r>
      <w:proofErr w:type="spellStart"/>
      <w:r>
        <w:t>of</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52067F91" w:rsidR="000E440C" w:rsidRPr="0050469B" w:rsidRDefault="000E440C" w:rsidP="000E440C">
      <w:pPr>
        <w:pStyle w:val="Tese-Caption"/>
      </w:pPr>
      <w:bookmarkStart w:id="1788" w:name="_Toc4738458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bookmarkEnd w:id="1788"/>
      <w:r>
        <w:t>Uma rede de conhecimento baseada no modelo de contexto de práticas de PoC</w:t>
      </w:r>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Assim, segundo Vygotsky, o conhecimento é construído</w:t>
      </w:r>
      <w:r>
        <w:t xml:space="preserve"> </w:t>
      </w:r>
      <w:r>
        <w:t>como resultado da experiência pessoal e subjetiva de uma atividade</w:t>
      </w:r>
      <w:r>
        <w:t xml:space="preserve"> </w:t>
      </w:r>
      <w:r>
        <w:t>que precede o conhecimento, e</w:t>
      </w:r>
      <w:r>
        <w:t xml:space="preserve"> </w:t>
      </w:r>
      <w:r>
        <w:t>as próprias tecnologias são artefatos da atividade prática</w:t>
      </w:r>
      <w:r>
        <w:t>.</w:t>
      </w:r>
      <w:r>
        <w:t xml:space="preserve"> Assim, quando os artefatos mudam, o mesmo ocorre com a atividade envolvendo novos ciclos de aprendizagem</w:t>
      </w:r>
      <w:r>
        <w:t xml:space="preserve">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w:t>
      </w:r>
      <w:r>
        <w:t>em um ciclo de aprendizagem contínuo, ou seja, a produção e disseminação d</w:t>
      </w:r>
      <w:r>
        <w:t>e</w:t>
      </w:r>
      <w:r>
        <w:t xml:space="preserve"> conhecimento </w:t>
      </w:r>
      <w:r>
        <w:t>no</w:t>
      </w:r>
      <w:r>
        <w:t xml:space="preserve"> contexto d</w:t>
      </w:r>
      <w:r>
        <w:t>a</w:t>
      </w:r>
      <w:r>
        <w:t xml:space="preserve"> PoC </w:t>
      </w:r>
      <w:r>
        <w:t>sendo</w:t>
      </w:r>
      <w:r>
        <w:t xml:space="preserve"> alicerçad</w:t>
      </w:r>
      <w:r>
        <w:t>o</w:t>
      </w:r>
      <w:r>
        <w:t xml:space="preserve"> por uma rede de conhecimento complexa, que neste estudo denominamos </w:t>
      </w:r>
      <w:r>
        <w:t xml:space="preserve">de </w:t>
      </w:r>
      <w:r w:rsidRPr="004E39A4">
        <w:rPr>
          <w:b/>
          <w:bCs/>
        </w:rPr>
        <w:t>PoC Knowledge Networks</w:t>
      </w:r>
      <w:r>
        <w:t xml:space="preserve"> (</w:t>
      </w:r>
      <w:r>
        <w:t>nossa ênfase</w:t>
      </w:r>
      <w:r>
        <w:t>).</w:t>
      </w:r>
    </w:p>
    <w:p w14:paraId="50B92875" w14:textId="43814675" w:rsidR="007A7243" w:rsidRDefault="007A7243" w:rsidP="007A7243">
      <w:pPr>
        <w:pStyle w:val="Tese-Normal"/>
      </w:pPr>
      <w:r>
        <w:t>Como pode</w:t>
      </w:r>
      <w:r>
        <w:t>mos observar na Figura 129,</w:t>
      </w:r>
      <w:r>
        <w:t xml:space="preserve"> apresentamos uma rede de conhecimento</w:t>
      </w:r>
      <w:r>
        <w:t xml:space="preserve">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proofErr w:type="spellStart"/>
      <w:r w:rsidRPr="00B650BA">
        <w:t>the</w:t>
      </w:r>
      <w:proofErr w:type="spellEnd"/>
      <w:r w:rsidRPr="00B650BA">
        <w:t xml:space="preserve"> </w:t>
      </w:r>
      <w:proofErr w:type="spellStart"/>
      <w:r w:rsidRPr="00B650BA">
        <w:t>simplest</w:t>
      </w:r>
      <w:proofErr w:type="spellEnd"/>
      <w:r w:rsidRPr="00B650BA">
        <w:t xml:space="preserve"> </w:t>
      </w:r>
      <w:proofErr w:type="spellStart"/>
      <w:r w:rsidRPr="00B650BA">
        <w:t>description</w:t>
      </w:r>
      <w:proofErr w:type="spellEnd"/>
      <w:r w:rsidRPr="00B650BA">
        <w:t xml:space="preserve"> </w:t>
      </w:r>
      <w:proofErr w:type="spellStart"/>
      <w:r w:rsidRPr="00B650BA">
        <w:t>of</w:t>
      </w:r>
      <w:proofErr w:type="spellEnd"/>
      <w:r w:rsidRPr="00B650BA">
        <w:t xml:space="preserve"> a set </w:t>
      </w:r>
      <w:proofErr w:type="spellStart"/>
      <w:r w:rsidRPr="00B650BA">
        <w:t>of</w:t>
      </w:r>
      <w:proofErr w:type="spellEnd"/>
      <w:r w:rsidRPr="00B650BA">
        <w:t xml:space="preserve"> </w:t>
      </w:r>
      <w:proofErr w:type="spellStart"/>
      <w:r w:rsidRPr="00B650BA">
        <w:t>interconnected</w:t>
      </w:r>
      <w:proofErr w:type="spellEnd"/>
      <w:r w:rsidRPr="00B650BA">
        <w:t xml:space="preserve">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50223D36" w14:textId="68EE1082" w:rsidR="00B650BA" w:rsidRDefault="00B650BA" w:rsidP="00B26879">
      <w:pPr>
        <w:pStyle w:val="Tese-Normal"/>
      </w:pPr>
      <w:r>
        <w:t xml:space="preserve">Da mesma forma, </w:t>
      </w:r>
      <w:r>
        <w:fldChar w:fldCharType="begin" w:fldLock="1"/>
      </w:r>
      <w:r w:rsidR="00CD2334">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fldChar w:fldCharType="separate"/>
      </w:r>
      <w:r w:rsidRPr="00B650BA">
        <w:rPr>
          <w:noProof/>
        </w:rPr>
        <w:t>Barabási</w:t>
      </w:r>
      <w:r>
        <w:rPr>
          <w:noProof/>
        </w:rPr>
        <w:t xml:space="preserve"> (</w:t>
      </w:r>
      <w:r w:rsidRPr="00B650BA">
        <w:rPr>
          <w:noProof/>
        </w:rPr>
        <w:t>2016</w:t>
      </w:r>
      <w:r>
        <w:rPr>
          <w:noProof/>
        </w:rPr>
        <w:t>, p. 45</w:t>
      </w:r>
      <w:r w:rsidRPr="00B650BA">
        <w:rPr>
          <w:noProof/>
        </w:rPr>
        <w:t>)</w:t>
      </w:r>
      <w:r>
        <w:fldChar w:fldCharType="end"/>
      </w:r>
      <w:r>
        <w:t xml:space="preserve"> descreve uma rede como sendo </w:t>
      </w:r>
      <w:r w:rsidRPr="00B650BA">
        <w:rPr>
          <w:rFonts w:ascii="Calibri" w:hAnsi="Calibri" w:cs="Calibri"/>
        </w:rPr>
        <w:t>﻿</w:t>
      </w:r>
      <w:r w:rsidRPr="00B650BA">
        <w:t xml:space="preserve">“a cata- log </w:t>
      </w:r>
      <w:proofErr w:type="spellStart"/>
      <w:r w:rsidRPr="00B650BA">
        <w:t>of</w:t>
      </w:r>
      <w:proofErr w:type="spellEnd"/>
      <w:r w:rsidRPr="00B650BA">
        <w:t xml:space="preserve"> a </w:t>
      </w:r>
      <w:proofErr w:type="spellStart"/>
      <w:r w:rsidRPr="00B650BA">
        <w:t>system’s</w:t>
      </w:r>
      <w:proofErr w:type="spellEnd"/>
      <w:r w:rsidRPr="00B650BA">
        <w:t xml:space="preserve"> </w:t>
      </w:r>
      <w:proofErr w:type="spellStart"/>
      <w:r w:rsidRPr="00B650BA">
        <w:t>components</w:t>
      </w:r>
      <w:proofErr w:type="spellEnd"/>
      <w:r w:rsidRPr="00B650BA">
        <w:t xml:space="preserve"> </w:t>
      </w:r>
      <w:proofErr w:type="spellStart"/>
      <w:r w:rsidRPr="00B650BA">
        <w:t>often</w:t>
      </w:r>
      <w:proofErr w:type="spellEnd"/>
      <w:r w:rsidRPr="00B650BA">
        <w:t xml:space="preserve"> </w:t>
      </w:r>
      <w:proofErr w:type="spellStart"/>
      <w:r w:rsidRPr="00B650BA">
        <w:t>called</w:t>
      </w:r>
      <w:proofErr w:type="spellEnd"/>
      <w:r w:rsidRPr="00B650BA">
        <w:t xml:space="preserve"> nodes </w:t>
      </w:r>
      <w:proofErr w:type="spellStart"/>
      <w:r w:rsidRPr="00B650BA">
        <w:t>or</w:t>
      </w:r>
      <w:proofErr w:type="spellEnd"/>
      <w:r w:rsidRPr="00B650BA">
        <w:t xml:space="preserve"> </w:t>
      </w:r>
      <w:proofErr w:type="spellStart"/>
      <w:r w:rsidRPr="00B650BA">
        <w:t>vertices</w:t>
      </w:r>
      <w:proofErr w:type="spellEnd"/>
      <w:r w:rsidRPr="00B650BA">
        <w:t xml:space="preserve"> </w:t>
      </w:r>
      <w:proofErr w:type="spellStart"/>
      <w:r w:rsidRPr="00B650BA">
        <w:t>and</w:t>
      </w:r>
      <w:proofErr w:type="spellEnd"/>
      <w:r w:rsidRPr="00B650BA">
        <w:t xml:space="preserve"> </w:t>
      </w:r>
      <w:proofErr w:type="spellStart"/>
      <w:r w:rsidRPr="00B650BA">
        <w:t>the</w:t>
      </w:r>
      <w:proofErr w:type="spellEnd"/>
      <w:r w:rsidRPr="00B650BA">
        <w:t xml:space="preserve"> </w:t>
      </w:r>
      <w:proofErr w:type="spellStart"/>
      <w:r w:rsidRPr="00B650BA">
        <w:t>direct</w:t>
      </w:r>
      <w:proofErr w:type="spellEnd"/>
      <w:r w:rsidRPr="00B650BA">
        <w:t xml:space="preserve"> </w:t>
      </w:r>
      <w:proofErr w:type="spellStart"/>
      <w:r w:rsidRPr="00B650BA">
        <w:t>interactions</w:t>
      </w:r>
      <w:proofErr w:type="spellEnd"/>
      <w:r w:rsidRPr="00B650BA">
        <w:t xml:space="preserve"> </w:t>
      </w:r>
      <w:proofErr w:type="spellStart"/>
      <w:r w:rsidRPr="00B650BA">
        <w:t>between</w:t>
      </w:r>
      <w:proofErr w:type="spellEnd"/>
      <w:r w:rsidRPr="00B650BA">
        <w:t xml:space="preserve"> </w:t>
      </w:r>
      <w:proofErr w:type="spellStart"/>
      <w:r w:rsidRPr="00B650BA">
        <w:t>them</w:t>
      </w:r>
      <w:proofErr w:type="spellEnd"/>
      <w:r w:rsidRPr="00B650BA">
        <w:t xml:space="preserve">, </w:t>
      </w:r>
      <w:proofErr w:type="spellStart"/>
      <w:r w:rsidRPr="00B650BA">
        <w:t>called</w:t>
      </w:r>
      <w:proofErr w:type="spellEnd"/>
      <w:r w:rsidRPr="00B650BA">
        <w:t xml:space="preserve"> links </w:t>
      </w:r>
      <w:proofErr w:type="spellStart"/>
      <w:r w:rsidRPr="00B650BA">
        <w:t>or</w:t>
      </w:r>
      <w:proofErr w:type="spellEnd"/>
      <w:r w:rsidRPr="00B650BA">
        <w:t xml:space="preserve"> </w:t>
      </w:r>
      <w:proofErr w:type="spellStart"/>
      <w:r w:rsidRPr="00B650BA">
        <w:t>edges</w:t>
      </w:r>
      <w:proofErr w:type="spellEnd"/>
      <w:r w:rsidRPr="00B650BA">
        <w:t>”</w:t>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77777777"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rPr>
        <w:lastRenderedPageBreak/>
        <w:t>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xml:space="preserve">, um estudo que </w:t>
      </w:r>
      <w:r w:rsidRPr="0050469B">
        <w:lastRenderedPageBreak/>
        <w:t>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6A3840A0" w14:textId="7D7242DF" w:rsidR="00CD2334"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Destacamos que</w:t>
      </w:r>
      <w:r w:rsidR="00CD2334">
        <w:t xml:space="preserve"> a </w:t>
      </w:r>
      <w:r w:rsidR="00CD2334">
        <w:t>r</w:t>
      </w:r>
      <w:r w:rsidR="00CD2334">
        <w:t xml:space="preserve">ede de </w:t>
      </w:r>
      <w:r w:rsidR="00CD2334">
        <w:t>c</w:t>
      </w:r>
      <w:r w:rsidR="00CD2334">
        <w:t xml:space="preserve">onhecimento </w:t>
      </w:r>
      <w:r w:rsidR="00CD2334">
        <w:t xml:space="preserve">no contexto da PoC é formada por diversas </w:t>
      </w:r>
      <w:proofErr w:type="spellStart"/>
      <w:r w:rsidR="00CD2334">
        <w:t>sub-redes</w:t>
      </w:r>
      <w:proofErr w:type="spellEnd"/>
      <w:r w:rsidR="00CD2334">
        <w:t xml:space="preserve">, onde cada </w:t>
      </w:r>
      <w:proofErr w:type="spellStart"/>
      <w:r w:rsidR="00CD2334">
        <w:t>sub-rede</w:t>
      </w:r>
      <w:proofErr w:type="spellEnd"/>
      <w:r w:rsidR="00CD2334">
        <w:t xml:space="preserve"> (ou cluster) pode produzir e disseminar conhecimento, “</w:t>
      </w:r>
      <w:r w:rsidR="00CD2334" w:rsidRPr="00CD2334">
        <w:rPr>
          <w:rFonts w:ascii="Calibri" w:hAnsi="Calibri" w:cs="Calibri"/>
        </w:rPr>
        <w:t>﻿</w:t>
      </w:r>
      <w:proofErr w:type="spellStart"/>
      <w:r w:rsidR="00CD2334" w:rsidRPr="00CD2334">
        <w:t>while</w:t>
      </w:r>
      <w:proofErr w:type="spellEnd"/>
      <w:r w:rsidR="00CD2334" w:rsidRPr="00CD2334">
        <w:t xml:space="preserve"> </w:t>
      </w:r>
      <w:proofErr w:type="spellStart"/>
      <w:r w:rsidR="00CD2334" w:rsidRPr="00CD2334">
        <w:t>employing</w:t>
      </w:r>
      <w:proofErr w:type="spellEnd"/>
      <w:r w:rsidR="00CD2334" w:rsidRPr="00CD2334">
        <w:t xml:space="preserve"> a reuse </w:t>
      </w:r>
      <w:proofErr w:type="spellStart"/>
      <w:r w:rsidR="00CD2334" w:rsidRPr="00CD2334">
        <w:t>protocol</w:t>
      </w:r>
      <w:proofErr w:type="spellEnd"/>
      <w:r w:rsidR="00CD2334" w:rsidRPr="00CD2334">
        <w:t xml:space="preserve"> </w:t>
      </w:r>
      <w:proofErr w:type="spellStart"/>
      <w:r w:rsidR="00CD2334" w:rsidRPr="00CD2334">
        <w:t>and</w:t>
      </w:r>
      <w:proofErr w:type="spellEnd"/>
      <w:r w:rsidR="00CD2334" w:rsidRPr="00CD2334">
        <w:t xml:space="preserve"> open </w:t>
      </w:r>
      <w:proofErr w:type="spellStart"/>
      <w:r w:rsidR="00CD2334" w:rsidRPr="00CD2334">
        <w:t>characteristics</w:t>
      </w:r>
      <w:proofErr w:type="spellEnd"/>
      <w:r w:rsidR="00CD2334" w:rsidRPr="00CD2334">
        <w:t xml:space="preserve">, i.e., </w:t>
      </w:r>
      <w:proofErr w:type="spellStart"/>
      <w:r w:rsidR="00CD2334" w:rsidRPr="00CD2334">
        <w:t>aiming</w:t>
      </w:r>
      <w:proofErr w:type="spellEnd"/>
      <w:r w:rsidR="00CD2334" w:rsidRPr="00CD2334">
        <w:t xml:space="preserve"> </w:t>
      </w:r>
      <w:proofErr w:type="spellStart"/>
      <w:r w:rsidR="00CD2334" w:rsidRPr="00CD2334">
        <w:t>to</w:t>
      </w:r>
      <w:proofErr w:type="spellEnd"/>
      <w:r w:rsidR="00CD2334" w:rsidRPr="00CD2334">
        <w:t xml:space="preserve"> </w:t>
      </w:r>
      <w:proofErr w:type="spellStart"/>
      <w:r w:rsidR="00CD2334" w:rsidRPr="00CD2334">
        <w:t>allow</w:t>
      </w:r>
      <w:proofErr w:type="spellEnd"/>
      <w:r w:rsidR="00CD2334" w:rsidRPr="00CD2334">
        <w:t xml:space="preserve"> </w:t>
      </w:r>
      <w:proofErr w:type="spellStart"/>
      <w:r w:rsidR="00CD2334" w:rsidRPr="00CD2334">
        <w:t>other</w:t>
      </w:r>
      <w:proofErr w:type="spellEnd"/>
      <w:r w:rsidR="00CD2334" w:rsidRPr="00CD2334">
        <w:t xml:space="preserve"> networks </w:t>
      </w:r>
      <w:proofErr w:type="spellStart"/>
      <w:r w:rsidR="00CD2334" w:rsidRPr="00CD2334">
        <w:t>to</w:t>
      </w:r>
      <w:proofErr w:type="spellEnd"/>
      <w:r w:rsidR="00CD2334" w:rsidRPr="00CD2334">
        <w:t xml:space="preserve"> use </w:t>
      </w:r>
      <w:proofErr w:type="spellStart"/>
      <w:r w:rsidR="00CD2334" w:rsidRPr="00CD2334">
        <w:t>each</w:t>
      </w:r>
      <w:proofErr w:type="spellEnd"/>
      <w:r w:rsidR="00CD2334" w:rsidRPr="00CD2334">
        <w:t xml:space="preserve"> </w:t>
      </w:r>
      <w:proofErr w:type="spellStart"/>
      <w:r w:rsidR="00CD2334" w:rsidRPr="00CD2334">
        <w:t>of</w:t>
      </w:r>
      <w:proofErr w:type="spellEnd"/>
      <w:r w:rsidR="00CD2334" w:rsidRPr="00CD2334">
        <w:t xml:space="preserve"> </w:t>
      </w:r>
      <w:proofErr w:type="spellStart"/>
      <w:r w:rsidR="00CD2334" w:rsidRPr="00CD2334">
        <w:t>the</w:t>
      </w:r>
      <w:proofErr w:type="spellEnd"/>
      <w:r w:rsidR="00CD2334" w:rsidRPr="00CD2334">
        <w:t xml:space="preserve"> networks</w:t>
      </w:r>
      <w:r w:rsidR="00CD2334">
        <w:t xml:space="preserve">” </w:t>
      </w:r>
      <w:r w:rsidR="00CD2334">
        <w:fldChar w:fldCharType="begin" w:fldLock="1"/>
      </w:r>
      <w:r w:rsidR="00CD233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2021)"},"properties":{"noteIndex":0},"schema":"https://github.com/citation-style-language/schema/raw/master/csl-citation.json"}</w:instrText>
      </w:r>
      <w:r w:rsidR="00CD2334">
        <w:fldChar w:fldCharType="separate"/>
      </w:r>
      <w:r w:rsidR="00CD2334" w:rsidRPr="00CD2334">
        <w:rPr>
          <w:noProof/>
        </w:rPr>
        <w:t>(Neto et al., 2021</w:t>
      </w:r>
      <w:r w:rsidR="00CD2334">
        <w:rPr>
          <w:noProof/>
        </w:rPr>
        <w:t>, p. 6</w:t>
      </w:r>
      <w:r w:rsidR="00CD2334" w:rsidRPr="00CD2334">
        <w:rPr>
          <w:noProof/>
        </w:rPr>
        <w:t>)</w:t>
      </w:r>
      <w:r w:rsidR="00CD2334">
        <w:fldChar w:fldCharType="end"/>
      </w:r>
      <w:r w:rsidR="00CD2334">
        <w:t>.</w:t>
      </w:r>
    </w:p>
    <w:p w14:paraId="7D3CDD41" w14:textId="6C0648BB" w:rsidR="00DB110D" w:rsidRDefault="00DB110D" w:rsidP="00DB110D">
      <w:pPr>
        <w:pStyle w:val="Tese-Figura"/>
      </w:pPr>
      <w:r w:rsidRPr="00DB110D">
        <w:lastRenderedPageBreak/>
        <w:drawing>
          <wp:inline distT="0" distB="0" distL="0" distR="0" wp14:anchorId="79107603" wp14:editId="000BA633">
            <wp:extent cx="5490210" cy="4355598"/>
            <wp:effectExtent l="0" t="0" r="0" b="635"/>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490210" cy="4355598"/>
                    </a:xfrm>
                    <a:prstGeom prst="rect">
                      <a:avLst/>
                    </a:prstGeom>
                  </pic:spPr>
                </pic:pic>
              </a:graphicData>
            </a:graphic>
          </wp:inline>
        </w:drawing>
      </w:r>
    </w:p>
    <w:p w14:paraId="62C7A914" w14:textId="73738464" w:rsidR="00DB110D" w:rsidRPr="00DB110D" w:rsidRDefault="00DB110D" w:rsidP="00DB110D">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proofErr w:type="spellEnd"/>
      <w:r w:rsidRPr="00DB110D">
        <w:t>.</w:t>
      </w:r>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Como pode ser visto na Fig</w:t>
      </w:r>
      <w:r>
        <w:t>ura</w:t>
      </w:r>
      <w:r>
        <w:t xml:space="preserve"> </w:t>
      </w:r>
      <w:r>
        <w:t>130</w:t>
      </w:r>
      <w:r>
        <w:t xml:space="preserve">, os </w:t>
      </w:r>
      <w:r>
        <w:t>praticantes</w:t>
      </w:r>
      <w:r>
        <w:t xml:space="preserve"> </w:t>
      </w:r>
      <w:r>
        <w:t xml:space="preserve">(players) </w:t>
      </w:r>
      <w:r>
        <w:t>1 e 2 formam uma rede (</w:t>
      </w:r>
      <w:r>
        <w:t>Network</w:t>
      </w:r>
      <w:r>
        <w:t xml:space="preserve"> A) durante a prática de Exploração. Esta rede produz algum conhecimento (</w:t>
      </w:r>
      <w:r>
        <w:t>Knowledge</w:t>
      </w:r>
      <w:r>
        <w:t xml:space="preserve"> A), que pode formar um novo vértice (nó) para qualquer outra rede. </w:t>
      </w:r>
    </w:p>
    <w:p w14:paraId="50B5A4CA" w14:textId="77777777" w:rsidR="00006701" w:rsidRDefault="00CD2334" w:rsidP="00CD2334">
      <w:pPr>
        <w:pStyle w:val="Tese-Normal"/>
      </w:pPr>
      <w:r>
        <w:t>Podemos observar o mesmo funcionamento na prática de Documenta</w:t>
      </w:r>
      <w:r>
        <w:t>ção</w:t>
      </w:r>
      <w:r>
        <w:t xml:space="preserve"> e Improvisa</w:t>
      </w:r>
      <w:r>
        <w:t>ção</w:t>
      </w:r>
      <w:r>
        <w:t xml:space="preserve">, a formação de redes denominadas </w:t>
      </w:r>
      <w:r>
        <w:t>Network</w:t>
      </w:r>
      <w:r>
        <w:t xml:space="preserve">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w:t>
      </w:r>
      <w:r>
        <w:t>ição</w:t>
      </w:r>
      <w:r>
        <w:t xml:space="preserve">. </w:t>
      </w:r>
    </w:p>
    <w:p w14:paraId="7769F094" w14:textId="77777777" w:rsidR="00006701" w:rsidRDefault="00CD2334" w:rsidP="00CD2334">
      <w:pPr>
        <w:pStyle w:val="Tese-Normal"/>
      </w:pPr>
      <w:r>
        <w:t xml:space="preserve">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48212345" w14:textId="40C0B07D" w:rsidR="00DB110D" w:rsidRDefault="00006701" w:rsidP="00CD2334">
      <w:pPr>
        <w:pStyle w:val="Tese-Normal"/>
      </w:pPr>
      <w:r>
        <w:lastRenderedPageBreak/>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3045A6A1">
            <wp:extent cx="5490210" cy="250698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22"/>
                    <a:stretch>
                      <a:fillRect/>
                    </a:stretch>
                  </pic:blipFill>
                  <pic:spPr>
                    <a:xfrm>
                      <a:off x="0" y="0"/>
                      <a:ext cx="5490210" cy="2506980"/>
                    </a:xfrm>
                    <a:prstGeom prst="rect">
                      <a:avLst/>
                    </a:prstGeom>
                  </pic:spPr>
                </pic:pic>
              </a:graphicData>
            </a:graphic>
          </wp:inline>
        </w:drawing>
      </w:r>
    </w:p>
    <w:p w14:paraId="0C8AFC8D" w14:textId="0E81F7CE" w:rsidR="007E7B1B" w:rsidRPr="00DB110D" w:rsidRDefault="007E7B1B" w:rsidP="007E7B1B">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D079C8C" w14:textId="77777777" w:rsidR="007E7B1B" w:rsidRPr="007E7B1B" w:rsidRDefault="007E7B1B" w:rsidP="007E7B1B">
      <w:pPr>
        <w:pStyle w:val="Tese-Normal"/>
      </w:pPr>
    </w:p>
    <w:p w14:paraId="37D799E9" w14:textId="6ABE0002" w:rsidR="00311D04" w:rsidRPr="0050469B" w:rsidRDefault="00D13BFD" w:rsidP="007D2264">
      <w:pPr>
        <w:pStyle w:val="Tese-Heading2"/>
      </w:pPr>
      <w:bookmarkStart w:id="1789"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89"/>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90" w:name="_Toc47384658"/>
      <w:r w:rsidRPr="0050469B">
        <w:t xml:space="preserve">6.2.1. </w:t>
      </w:r>
      <w:r w:rsidR="00413ED7" w:rsidRPr="0050469B">
        <w:t xml:space="preserve">Um exemplo do uso da Teoria da Percolação </w:t>
      </w:r>
      <w:r w:rsidR="00A32FB7" w:rsidRPr="0050469B">
        <w:t>na rede de conhecimento da PoC</w:t>
      </w:r>
      <w:bookmarkEnd w:id="1790"/>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1" w:name="_Toc47384659"/>
      <w:r w:rsidRPr="0050469B">
        <w:t>7</w:t>
      </w:r>
      <w:r w:rsidR="00541015" w:rsidRPr="0050469B">
        <w:t>.</w:t>
      </w:r>
      <w:r w:rsidR="00A22E43" w:rsidRPr="0050469B">
        <w:t xml:space="preserve"> </w:t>
      </w:r>
      <w:bookmarkStart w:id="1792" w:name="BackToTOC"/>
      <w:bookmarkEnd w:id="1792"/>
      <w:r w:rsidR="00584D1F" w:rsidRPr="0050469B">
        <w:t>O contexto da PoC</w:t>
      </w:r>
      <w:r w:rsidR="0027302E" w:rsidRPr="0050469B">
        <w:t xml:space="preserve"> e sua natureza hermenêutica</w:t>
      </w:r>
      <w:bookmarkEnd w:id="1786"/>
      <w:bookmarkEnd w:id="1791"/>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3" w:name="_Toc41897435"/>
      <w:bookmarkStart w:id="1794" w:name="_Toc47384660"/>
      <w:bookmarkStart w:id="1795" w:name="_Toc13052699"/>
      <w:bookmarkStart w:id="1796" w:name="_Toc13053059"/>
      <w:bookmarkStart w:id="1797"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3"/>
      <w:r w:rsidR="00D97505" w:rsidRPr="0050469B">
        <w:t>da PoC</w:t>
      </w:r>
      <w:r w:rsidR="00E2736E">
        <w:t xml:space="preserve"> apoiados na hermenêutica</w:t>
      </w:r>
      <w:bookmarkEnd w:id="1794"/>
    </w:p>
    <w:p w14:paraId="6611A607" w14:textId="0689B8EF" w:rsidR="003C38A0" w:rsidRPr="0044563A" w:rsidRDefault="00996B18" w:rsidP="00964DB1">
      <w:pPr>
        <w:pStyle w:val="Tese-Normal"/>
      </w:pPr>
      <w:bookmarkStart w:id="1798" w:name="_Toc41897438"/>
      <w:bookmarkStart w:id="1799" w:name="OLE_LINK334"/>
      <w:bookmarkStart w:id="1800" w:name="OLE_LINK364"/>
      <w:bookmarkEnd w:id="1626"/>
      <w:bookmarkEnd w:id="1627"/>
      <w:bookmarkEnd w:id="1628"/>
      <w:bookmarkEnd w:id="1629"/>
      <w:bookmarkEnd w:id="1795"/>
      <w:bookmarkEnd w:id="1796"/>
      <w:bookmarkEnd w:id="1797"/>
      <w:r w:rsidRPr="0050469B">
        <w:t>Conforme podemos observar na Figura 1</w:t>
      </w:r>
      <w:r>
        <w:t>46</w:t>
      </w:r>
      <w:r w:rsidRPr="0050469B">
        <w:t xml:space="preserve">, </w:t>
      </w:r>
    </w:p>
    <w:p w14:paraId="68CC5778" w14:textId="4B8B9650" w:rsidR="00E2736E" w:rsidRDefault="00E2736E" w:rsidP="002A7F45">
      <w:pPr>
        <w:pStyle w:val="Tese-Heading2"/>
      </w:pPr>
      <w:bookmarkStart w:id="1801" w:name="_Toc47384661"/>
      <w:r w:rsidRPr="0050469B">
        <w:t>7.</w:t>
      </w:r>
      <w:r>
        <w:t>2</w:t>
      </w:r>
      <w:r w:rsidRPr="0050469B">
        <w:t xml:space="preserve"> </w:t>
      </w:r>
      <w:r>
        <w:t xml:space="preserve">A hermenêutica </w:t>
      </w:r>
      <w:r w:rsidR="00824FF9">
        <w:t>e os</w:t>
      </w:r>
      <w:r>
        <w:t xml:space="preserve"> </w:t>
      </w:r>
      <w:r w:rsidR="00824FF9">
        <w:t>cenários na PoC</w:t>
      </w:r>
      <w:bookmarkEnd w:id="1801"/>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2" w:name="_Toc47384662"/>
      <w:r w:rsidRPr="00017ADD">
        <w:t xml:space="preserve">7.2.1. </w:t>
      </w:r>
      <w:r w:rsidR="001C610E" w:rsidRPr="00017ADD">
        <w:t xml:space="preserve">Cenário 1: </w:t>
      </w:r>
      <w:r w:rsidR="00017ADD" w:rsidRPr="00017ADD">
        <w:t>os testes de resiliência no contexto da PoC</w:t>
      </w:r>
      <w:bookmarkEnd w:id="1802"/>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3"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3"/>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4"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4"/>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5" w:name="_Toc47384665"/>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5"/>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6" w:name="_Toc47384666"/>
      <w:r>
        <w:lastRenderedPageBreak/>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6"/>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7" w:name="_Toc47384667"/>
      <w:r w:rsidRPr="0050469B">
        <w:lastRenderedPageBreak/>
        <w:t>Considerações Finais e perspectivas de trabalho</w:t>
      </w:r>
      <w:r w:rsidR="00286FCD" w:rsidRPr="0050469B">
        <w:t>s</w:t>
      </w:r>
      <w:r w:rsidRPr="0050469B">
        <w:t xml:space="preserve"> futuro</w:t>
      </w:r>
      <w:bookmarkEnd w:id="1798"/>
      <w:r w:rsidR="00286FCD" w:rsidRPr="0050469B">
        <w:t>s</w:t>
      </w:r>
      <w:bookmarkEnd w:id="1807"/>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8" w:name="_Toc13052702"/>
      <w:bookmarkStart w:id="1809" w:name="_Toc13053062"/>
      <w:bookmarkStart w:id="1810" w:name="_Toc13053151"/>
      <w:bookmarkStart w:id="1811" w:name="_Toc41897439"/>
      <w:bookmarkStart w:id="1812" w:name="_Toc47384668"/>
      <w:bookmarkStart w:id="1813" w:name="_Toc506450693"/>
      <w:bookmarkStart w:id="1814" w:name="_Toc512804508"/>
      <w:bookmarkEnd w:id="1799"/>
      <w:bookmarkEnd w:id="1800"/>
      <w:r w:rsidRPr="0050469B">
        <w:rPr>
          <w:rFonts w:ascii="Gill Sans" w:hAnsi="Gill Sans" w:cs="Gill Sans" w:hint="cs"/>
          <w:b w:val="0"/>
          <w:color w:val="000000" w:themeColor="text1"/>
          <w:sz w:val="36"/>
          <w:szCs w:val="36"/>
          <w:lang w:val="pt-BR"/>
        </w:rPr>
        <w:t>o que se julga poder acontecer?</w:t>
      </w:r>
      <w:bookmarkEnd w:id="1808"/>
      <w:bookmarkEnd w:id="1809"/>
      <w:bookmarkEnd w:id="1810"/>
      <w:bookmarkEnd w:id="1811"/>
      <w:bookmarkEnd w:id="1812"/>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5" w:name="_Toc13052703"/>
      <w:bookmarkStart w:id="1816" w:name="_Toc13053063"/>
      <w:bookmarkStart w:id="1817" w:name="_Toc13053152"/>
      <w:bookmarkStart w:id="1818" w:name="_Toc41897440"/>
      <w:bookmarkStart w:id="1819" w:name="_Toc47384669"/>
      <w:r w:rsidRPr="0050469B">
        <w:rPr>
          <w:rFonts w:ascii="Gill Sans" w:hAnsi="Gill Sans" w:cs="Gill Sans" w:hint="cs"/>
          <w:b w:val="0"/>
          <w:color w:val="000000" w:themeColor="text1"/>
          <w:sz w:val="36"/>
          <w:szCs w:val="36"/>
          <w:lang w:val="pt-BR"/>
        </w:rPr>
        <w:lastRenderedPageBreak/>
        <w:t>limites à interpretação?</w:t>
      </w:r>
      <w:bookmarkEnd w:id="1815"/>
      <w:bookmarkEnd w:id="1816"/>
      <w:bookmarkEnd w:id="1817"/>
      <w:bookmarkEnd w:id="1818"/>
      <w:bookmarkEnd w:id="1819"/>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20" w:name="_Toc13052704"/>
      <w:bookmarkStart w:id="1821" w:name="_Toc13053064"/>
      <w:bookmarkStart w:id="1822" w:name="_Toc13053153"/>
      <w:bookmarkStart w:id="1823" w:name="_Toc41897441"/>
      <w:bookmarkStart w:id="1824"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20"/>
      <w:bookmarkEnd w:id="1821"/>
      <w:bookmarkEnd w:id="1822"/>
      <w:bookmarkEnd w:id="1823"/>
      <w:bookmarkEnd w:id="1824"/>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5" w:name="OLE_LINK712"/>
      <w:bookmarkStart w:id="1826"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23"/>
          <w:footerReference w:type="even" r:id="rId24"/>
          <w:footerReference w:type="default" r:id="rId25"/>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7" w:name="_Toc41897442"/>
      <w:bookmarkStart w:id="1828" w:name="_Toc47384671"/>
      <w:bookmarkEnd w:id="1813"/>
      <w:bookmarkEnd w:id="1814"/>
      <w:r w:rsidRPr="0050469B">
        <w:rPr>
          <w:rFonts w:ascii="Gill Sans" w:hAnsi="Gill Sans" w:cs="Gill Sans"/>
          <w:color w:val="000000" w:themeColor="text1"/>
          <w:sz w:val="40"/>
          <w:szCs w:val="40"/>
          <w:lang w:val="pt-BR"/>
        </w:rPr>
        <w:lastRenderedPageBreak/>
        <w:t>Referências Bibliográficas</w:t>
      </w:r>
      <w:bookmarkEnd w:id="1827"/>
      <w:bookmarkEnd w:id="1828"/>
    </w:p>
    <w:bookmarkEnd w:id="4"/>
    <w:bookmarkEnd w:id="5"/>
    <w:bookmarkEnd w:id="1825"/>
    <w:bookmarkEnd w:id="1826"/>
    <w:p w14:paraId="2E9A2440" w14:textId="0D8F1CD8" w:rsidR="00013822" w:rsidRPr="0050469B" w:rsidRDefault="00013822">
      <w:pPr>
        <w:spacing w:before="120" w:after="120"/>
        <w:rPr>
          <w:rFonts w:ascii="Times" w:hAnsi="Times" w:cs="Times"/>
          <w:color w:val="000000"/>
          <w:lang w:val="pt-BR"/>
        </w:rPr>
      </w:pPr>
    </w:p>
    <w:p w14:paraId="1E4292F9" w14:textId="75BA3583" w:rsidR="00CD2334" w:rsidRPr="00CD2334" w:rsidRDefault="001257EA" w:rsidP="00CD2334">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CD2334" w:rsidRPr="00CD2334">
        <w:rPr>
          <w:noProof/>
        </w:rPr>
        <w:t xml:space="preserve">Barabási, A.-L. (2016). </w:t>
      </w:r>
      <w:r w:rsidR="00CD2334" w:rsidRPr="00CD2334">
        <w:rPr>
          <w:i/>
          <w:iCs/>
          <w:noProof/>
        </w:rPr>
        <w:t>Network Science</w:t>
      </w:r>
      <w:r w:rsidR="00CD2334" w:rsidRPr="00CD2334">
        <w:rPr>
          <w:noProof/>
        </w:rPr>
        <w:t xml:space="preserve"> (1st editio). Cambridge University Press.</w:t>
      </w:r>
    </w:p>
    <w:p w14:paraId="7B0D2C5A"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Borges, M. M. (2006). A Esfera: Comunicação Académica e Novos Media [Universidade de Coimbra]. In </w:t>
      </w:r>
      <w:r w:rsidRPr="00CD2334">
        <w:rPr>
          <w:i/>
          <w:iCs/>
          <w:noProof/>
        </w:rPr>
        <w:t>Universo</w:t>
      </w:r>
      <w:r w:rsidRPr="00CD2334">
        <w:rPr>
          <w:noProof/>
        </w:rPr>
        <w:t>. http://estudogeral.sib.uc.pt/handle/10316/8557</w:t>
      </w:r>
    </w:p>
    <w:p w14:paraId="436B66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(2002). </w:t>
      </w:r>
      <w:r w:rsidRPr="00CD2334">
        <w:rPr>
          <w:i/>
          <w:iCs/>
          <w:noProof/>
        </w:rPr>
        <w:t>A sociedade em rede</w:t>
      </w:r>
      <w:r w:rsidRPr="00CD2334">
        <w:rPr>
          <w:noProof/>
        </w:rPr>
        <w:t>. Editora Paz e Terra.</w:t>
      </w:r>
    </w:p>
    <w:p w14:paraId="0A5AE024"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(2010). </w:t>
      </w:r>
      <w:r w:rsidRPr="00CD2334">
        <w:rPr>
          <w:i/>
          <w:iCs/>
          <w:noProof/>
        </w:rPr>
        <w:t>The Rise of the Network Society</w:t>
      </w:r>
      <w:r w:rsidRPr="00CD2334">
        <w:rPr>
          <w:noProof/>
        </w:rPr>
        <w:t>. John Wiley &amp; Sons, Ltd.</w:t>
      </w:r>
    </w:p>
    <w:p w14:paraId="5B556B9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Davenport, T. H., &amp; Prusak, L. (1998). </w:t>
      </w:r>
      <w:r w:rsidRPr="00CD2334">
        <w:rPr>
          <w:i/>
          <w:iCs/>
          <w:noProof/>
        </w:rPr>
        <w:t>Working Knowledge: How Organizations Manage What They Know</w:t>
      </w:r>
      <w:r w:rsidRPr="00CD2334">
        <w:rPr>
          <w:noProof/>
        </w:rPr>
        <w:t>. Harvard Business School Press.</w:t>
      </w:r>
    </w:p>
    <w:p w14:paraId="770D67A1"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(2001). Expansive Learning at Work: toward an activity theoretical reconceptualization. </w:t>
      </w:r>
      <w:r w:rsidRPr="00CD2334">
        <w:rPr>
          <w:i/>
          <w:iCs/>
          <w:noProof/>
        </w:rPr>
        <w:t>Journal of Education and Work</w:t>
      </w:r>
      <w:r w:rsidRPr="00CD2334">
        <w:rPr>
          <w:noProof/>
        </w:rPr>
        <w:t xml:space="preserve">, </w:t>
      </w:r>
      <w:r w:rsidRPr="00CD2334">
        <w:rPr>
          <w:i/>
          <w:iCs/>
          <w:noProof/>
        </w:rPr>
        <w:t>14</w:t>
      </w:r>
      <w:r w:rsidRPr="00CD2334">
        <w:rPr>
          <w:noProof/>
        </w:rPr>
        <w:t>(1), 133–156. https://doi.org/10.1080/13639080123238</w:t>
      </w:r>
    </w:p>
    <w:p w14:paraId="584D7B4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(2016). </w:t>
      </w:r>
      <w:r w:rsidRPr="00CD2334">
        <w:rPr>
          <w:i/>
          <w:iCs/>
          <w:noProof/>
        </w:rPr>
        <w:t>Studies in Expansive Learning: Learning What is Not Yet There</w:t>
      </w:r>
      <w:r w:rsidRPr="00CD2334">
        <w:rPr>
          <w:noProof/>
        </w:rPr>
        <w:t>. Cambridge University Press. https://doi.org/10.1017/CBO9781316225363</w:t>
      </w:r>
    </w:p>
    <w:p w14:paraId="2F7F534C"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Figueiredo, A. D. D. F. (2002). Redes e Educação: A surpreendente riqueza de um conceito. </w:t>
      </w:r>
      <w:r w:rsidRPr="00CD2334">
        <w:rPr>
          <w:i/>
          <w:iCs/>
          <w:noProof/>
        </w:rPr>
        <w:t>Redes de Aprendizagem, Redes de Conhecimento</w:t>
      </w:r>
      <w:r w:rsidRPr="00CD2334">
        <w:rPr>
          <w:noProof/>
        </w:rPr>
        <w:t>, 39–55.</w:t>
      </w:r>
    </w:p>
    <w:p w14:paraId="42AB51CB"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Fino, C. N. (2001). Vygotsky e a Zona de Desenvolvimento Proximal (ZDP): Três implicações pedagógicas. </w:t>
      </w:r>
      <w:r w:rsidRPr="00CD2334">
        <w:rPr>
          <w:i/>
          <w:iCs/>
          <w:noProof/>
        </w:rPr>
        <w:t>Revista Portuguesa de Educação</w:t>
      </w:r>
      <w:r w:rsidRPr="00CD2334">
        <w:rPr>
          <w:noProof/>
        </w:rPr>
        <w:t xml:space="preserve">, </w:t>
      </w:r>
      <w:r w:rsidRPr="00CD2334">
        <w:rPr>
          <w:i/>
          <w:iCs/>
          <w:noProof/>
        </w:rPr>
        <w:t>14</w:t>
      </w:r>
      <w:r w:rsidRPr="00CD2334">
        <w:rPr>
          <w:noProof/>
        </w:rPr>
        <w:t>(2).</w:t>
      </w:r>
    </w:p>
    <w:p w14:paraId="416DA1A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Gadamer, H.-G. (2013). </w:t>
      </w:r>
      <w:r w:rsidRPr="00CD2334">
        <w:rPr>
          <w:i/>
          <w:iCs/>
          <w:noProof/>
        </w:rPr>
        <w:t>Truth and Method</w:t>
      </w:r>
      <w:r w:rsidRPr="00CD2334">
        <w:rPr>
          <w:noProof/>
        </w:rPr>
        <w:t>. Bloomsbury Academic.</w:t>
      </w:r>
    </w:p>
    <w:p w14:paraId="25DF536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Jacobetty, P. (2010). </w:t>
      </w:r>
      <w:r w:rsidRPr="00CD2334">
        <w:rPr>
          <w:i/>
          <w:iCs/>
          <w:noProof/>
        </w:rPr>
        <w:t>Ciência aberta: produção de conhecimento científico na sociedade em rede</w:t>
      </w:r>
      <w:r w:rsidRPr="00CD2334">
        <w:rPr>
          <w:noProof/>
        </w:rPr>
        <w:t>. ISCTE-IUL.</w:t>
      </w:r>
    </w:p>
    <w:p w14:paraId="038F07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Klein, H. K., &amp; Myers, M. D. (1999). A Set of Principles for Conducting and Evaluating Interpretive Field Studies in Information Systems. </w:t>
      </w:r>
      <w:r w:rsidRPr="00CD2334">
        <w:rPr>
          <w:i/>
          <w:iCs/>
          <w:noProof/>
        </w:rPr>
        <w:t>MIS Quarterly</w:t>
      </w:r>
      <w:r w:rsidRPr="00CD2334">
        <w:rPr>
          <w:noProof/>
        </w:rPr>
        <w:t xml:space="preserve">, </w:t>
      </w:r>
      <w:r w:rsidRPr="00CD2334">
        <w:rPr>
          <w:i/>
          <w:iCs/>
          <w:noProof/>
        </w:rPr>
        <w:t>23</w:t>
      </w:r>
      <w:r w:rsidRPr="00CD2334">
        <w:rPr>
          <w:noProof/>
        </w:rPr>
        <w:t>(1), 67. https://doi.org/10.2307/249410</w:t>
      </w:r>
    </w:p>
    <w:p w14:paraId="211A1AB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Kuramoto, H. (2006). Informação científica: proposta de um novo modelo para o Brasil. </w:t>
      </w:r>
      <w:r w:rsidRPr="00CD2334">
        <w:rPr>
          <w:i/>
          <w:iCs/>
          <w:noProof/>
        </w:rPr>
        <w:t>Ciência Da Informação</w:t>
      </w:r>
      <w:r w:rsidRPr="00CD2334">
        <w:rPr>
          <w:noProof/>
        </w:rPr>
        <w:t xml:space="preserve">, </w:t>
      </w:r>
      <w:r w:rsidRPr="00CD2334">
        <w:rPr>
          <w:i/>
          <w:iCs/>
          <w:noProof/>
        </w:rPr>
        <w:t>35</w:t>
      </w:r>
      <w:r w:rsidRPr="00CD2334">
        <w:rPr>
          <w:noProof/>
        </w:rPr>
        <w:t>(2), 91–102. https://doi.org/10.1590/S0100-19652006000200010</w:t>
      </w:r>
    </w:p>
    <w:p w14:paraId="017F53C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Latour, B. (2005). </w:t>
      </w:r>
      <w:r w:rsidRPr="00CD2334">
        <w:rPr>
          <w:i/>
          <w:iCs/>
          <w:noProof/>
        </w:rPr>
        <w:t>Reassembling the Social: An Introduction to Actor-Network-Theory</w:t>
      </w:r>
      <w:r w:rsidRPr="00CD2334">
        <w:rPr>
          <w:noProof/>
        </w:rPr>
        <w:t>. Oxford University Press.</w:t>
      </w:r>
    </w:p>
    <w:p w14:paraId="0CBD610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Leonard-Barton, D. (1995). </w:t>
      </w:r>
      <w:r w:rsidRPr="00CD2334">
        <w:rPr>
          <w:i/>
          <w:iCs/>
          <w:noProof/>
        </w:rPr>
        <w:t>Wellsprings of Knowledge: Building and Sustaining the Sources of Innovation</w:t>
      </w:r>
      <w:r w:rsidRPr="00CD2334">
        <w:rPr>
          <w:noProof/>
        </w:rPr>
        <w:t>. HBS Press.</w:t>
      </w:r>
    </w:p>
    <w:p w14:paraId="583FB5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Menczer, F., Fortunato, S., &amp; Davis, C. A. (2020). </w:t>
      </w:r>
      <w:r w:rsidRPr="00CD2334">
        <w:rPr>
          <w:i/>
          <w:iCs/>
          <w:noProof/>
        </w:rPr>
        <w:t>A First Course in Network Science</w:t>
      </w:r>
      <w:r w:rsidRPr="00CD2334">
        <w:rPr>
          <w:noProof/>
        </w:rPr>
        <w:t>. Cambridge University Press.</w:t>
      </w:r>
    </w:p>
    <w:p w14:paraId="1F35809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(2020a). A “New” View of Proof-of-Concept Practices Through the Lenses of Activity Theory and Hermeneutics. </w:t>
      </w:r>
      <w:r w:rsidRPr="00CD2334">
        <w:rPr>
          <w:i/>
          <w:iCs/>
          <w:noProof/>
        </w:rPr>
        <w:t>Journal of Information Technology Research (JITR)</w:t>
      </w:r>
      <w:r w:rsidRPr="00CD2334">
        <w:rPr>
          <w:noProof/>
        </w:rPr>
        <w:t xml:space="preserve">, </w:t>
      </w:r>
      <w:r w:rsidRPr="00CD2334">
        <w:rPr>
          <w:i/>
          <w:iCs/>
          <w:noProof/>
        </w:rPr>
        <w:t>13</w:t>
      </w:r>
      <w:r w:rsidRPr="00CD2334">
        <w:rPr>
          <w:noProof/>
        </w:rPr>
        <w:t>(4), 118–135. https://doi.org/10.4018/JITR.2020100108</w:t>
      </w:r>
    </w:p>
    <w:p w14:paraId="6293028F"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(2020b). Developing a Proof-of-Concept Practices Context Model. </w:t>
      </w:r>
      <w:r w:rsidRPr="00CD2334">
        <w:rPr>
          <w:i/>
          <w:iCs/>
          <w:noProof/>
        </w:rPr>
        <w:t>In Proceedings of the 28th European Conference on Information Systems (ECIS), An Online AIS Conference, June 15-17, 2020</w:t>
      </w:r>
      <w:r w:rsidRPr="00CD2334">
        <w:rPr>
          <w:noProof/>
        </w:rPr>
        <w:t>. https://aisel.aisnet.org/ecis2020_rp/174</w:t>
      </w:r>
    </w:p>
    <w:p w14:paraId="3CD622C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lastRenderedPageBreak/>
        <w:t xml:space="preserve">Neto, A. J. R., Borges, M. M., &amp; Roque, L. (2020c). Flow of knowledge in proof-of-concept activities: Examining the problem of interpretation using hermeneutics. </w:t>
      </w:r>
      <w:r w:rsidRPr="00CD2334">
        <w:rPr>
          <w:i/>
          <w:iCs/>
          <w:noProof/>
        </w:rPr>
        <w:t>LIBRES</w:t>
      </w:r>
      <w:r w:rsidRPr="00CD2334">
        <w:rPr>
          <w:noProof/>
        </w:rPr>
        <w:t xml:space="preserve">, </w:t>
      </w:r>
      <w:r w:rsidRPr="00CD2334">
        <w:rPr>
          <w:i/>
          <w:iCs/>
          <w:noProof/>
        </w:rPr>
        <w:t>30</w:t>
      </w:r>
      <w:r w:rsidRPr="00CD2334">
        <w:rPr>
          <w:noProof/>
        </w:rPr>
        <w:t>(2), 45–67.</w:t>
      </w:r>
    </w:p>
    <w:p w14:paraId="7E003B2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(2021). Using Practice Context Models to Knowledge Management in Proof-of-Concept Activities: A Contribution of Knowledge Networks and Percolation Theory. </w:t>
      </w:r>
      <w:r w:rsidRPr="00CD2334">
        <w:rPr>
          <w:i/>
          <w:iCs/>
          <w:noProof/>
        </w:rPr>
        <w:t>Journal of Information Science Theory and Practice</w:t>
      </w:r>
      <w:r w:rsidRPr="00CD2334">
        <w:rPr>
          <w:noProof/>
        </w:rPr>
        <w:t xml:space="preserve">, </w:t>
      </w:r>
      <w:r w:rsidRPr="00CD2334">
        <w:rPr>
          <w:i/>
          <w:iCs/>
          <w:noProof/>
        </w:rPr>
        <w:t>9</w:t>
      </w:r>
      <w:r w:rsidRPr="00CD2334">
        <w:rPr>
          <w:noProof/>
        </w:rPr>
        <w:t>(1), 1–23. https://doi.org/10.1633/JISTAP.2021.9.1.1</w:t>
      </w:r>
    </w:p>
    <w:p w14:paraId="69EA16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(2018). A Preliminary Study of Proof of Concept Practices and their Connection with Information Systems and Information Science. </w:t>
      </w:r>
      <w:r w:rsidRPr="00CD2334">
        <w:rPr>
          <w:i/>
          <w:iCs/>
          <w:noProof/>
        </w:rPr>
        <w:t>Proceedings of the Sixth International Conference on Technological Ecosystems for Enhancing Multiculturality - TEEM’18</w:t>
      </w:r>
      <w:r w:rsidRPr="00CD2334">
        <w:rPr>
          <w:noProof/>
        </w:rPr>
        <w:t>, 270–275. https://doi.org/10.1145/3284179.3284226</w:t>
      </w:r>
    </w:p>
    <w:p w14:paraId="5468EDD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(2019). Characterizing Proof-of-Concept Practices using the lens of Context Engineering. In A. Siarheyeva, C. Barry, M. Lang, H. Linger, &amp; C. Schneider (Eds.), </w:t>
      </w:r>
      <w:r w:rsidRPr="00CD2334">
        <w:rPr>
          <w:i/>
          <w:iCs/>
          <w:noProof/>
        </w:rPr>
        <w:t>Information Systems Development: Information Systems Beyond 2020 (ISD2019 Proceedings)</w:t>
      </w:r>
      <w:r w:rsidRPr="00CD2334">
        <w:rPr>
          <w:noProof/>
        </w:rPr>
        <w:t>.</w:t>
      </w:r>
    </w:p>
    <w:p w14:paraId="587914D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Phelps, C., Heidl, R., &amp; Wadhwa, A. (2012). Knowledge, Networks, and Knowledge Networks: A Review and Research Agenda. </w:t>
      </w:r>
      <w:r w:rsidRPr="00CD2334">
        <w:rPr>
          <w:i/>
          <w:iCs/>
          <w:noProof/>
        </w:rPr>
        <w:t>Journal of Management</w:t>
      </w:r>
      <w:r w:rsidRPr="00CD2334">
        <w:rPr>
          <w:noProof/>
        </w:rPr>
        <w:t xml:space="preserve">, </w:t>
      </w:r>
      <w:r w:rsidRPr="00CD2334">
        <w:rPr>
          <w:i/>
          <w:iCs/>
          <w:noProof/>
        </w:rPr>
        <w:t>38</w:t>
      </w:r>
      <w:r w:rsidRPr="00CD2334">
        <w:rPr>
          <w:noProof/>
        </w:rPr>
        <w:t>(4), 1115–1166. https://doi.org/10.1177/0149206311432640</w:t>
      </w:r>
    </w:p>
    <w:p w14:paraId="38215DB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Roque, L. (2004). </w:t>
      </w:r>
      <w:r w:rsidRPr="00CD2334">
        <w:rPr>
          <w:i/>
          <w:iCs/>
          <w:noProof/>
        </w:rPr>
        <w:t>Contribuição para uma Engenharia do Contexto</w:t>
      </w:r>
      <w:r w:rsidRPr="00CD2334">
        <w:rPr>
          <w:noProof/>
        </w:rPr>
        <w:t>. Universidade de Coimbra.</w:t>
      </w:r>
    </w:p>
    <w:p w14:paraId="7315E92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Schmidt, B. (2006). Proof of principle studies. </w:t>
      </w:r>
      <w:r w:rsidRPr="00CD2334">
        <w:rPr>
          <w:i/>
          <w:iCs/>
          <w:noProof/>
        </w:rPr>
        <w:t>Epilepsy Research</w:t>
      </w:r>
      <w:r w:rsidRPr="00CD2334">
        <w:rPr>
          <w:noProof/>
        </w:rPr>
        <w:t xml:space="preserve">, </w:t>
      </w:r>
      <w:r w:rsidRPr="00CD2334">
        <w:rPr>
          <w:i/>
          <w:iCs/>
          <w:noProof/>
        </w:rPr>
        <w:t>68</w:t>
      </w:r>
      <w:r w:rsidRPr="00CD2334">
        <w:rPr>
          <w:noProof/>
        </w:rPr>
        <w:t>, 49–52.</w:t>
      </w:r>
    </w:p>
    <w:p w14:paraId="2A9DB683"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Teixeira, M. do R. F. (2011). </w:t>
      </w:r>
      <w:r w:rsidRPr="00CD2334">
        <w:rPr>
          <w:i/>
          <w:iCs/>
          <w:noProof/>
        </w:rPr>
        <w:t>Redes de Conhecimento em Ciências e o Compartilhamento do Conhecimento</w:t>
      </w:r>
      <w:r w:rsidRPr="00CD2334">
        <w:rPr>
          <w:noProof/>
        </w:rPr>
        <w:t>. Universidade Federal do Rio Grande do Sul.</w:t>
      </w:r>
    </w:p>
    <w:p w14:paraId="46524C8E" w14:textId="7F6F8E7C" w:rsidR="00AC426F" w:rsidRPr="0050469B" w:rsidRDefault="001257EA" w:rsidP="00CD2334">
      <w:pPr>
        <w:widowControl w:val="0"/>
        <w:autoSpaceDE w:val="0"/>
        <w:autoSpaceDN w:val="0"/>
        <w:adjustRightInd w:val="0"/>
        <w:spacing w:before="120" w:after="120"/>
        <w:ind w:left="480" w:hanging="480"/>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29" w:name="_Toc41897443"/>
      <w:bookmarkStart w:id="1830" w:name="_Toc47384672"/>
      <w:r w:rsidRPr="0050469B">
        <w:rPr>
          <w:rFonts w:ascii="Gill Sans" w:hAnsi="Gill Sans" w:cs="Gill Sans"/>
          <w:color w:val="000000" w:themeColor="text1"/>
          <w:sz w:val="40"/>
          <w:szCs w:val="40"/>
          <w:lang w:val="pt-BR"/>
        </w:rPr>
        <w:lastRenderedPageBreak/>
        <w:t>Anexos</w:t>
      </w:r>
      <w:bookmarkEnd w:id="1829"/>
      <w:bookmarkEnd w:id="1830"/>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1" w:name="_Toc41897444"/>
      <w:bookmarkStart w:id="1832"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1"/>
      <w:bookmarkEnd w:id="1832"/>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3" w:name="_Toc41897445"/>
      <w:bookmarkStart w:id="1834"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3"/>
      <w:bookmarkEnd w:id="1834"/>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26"/>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27"/>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28"/>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29"/>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30"/>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5"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5"/>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31">
                      <a:extLst>
                        <a:ext uri="{BEBA8EAE-BF5A-486C-A8C5-ECC9F3942E4B}">
                          <a14:imgProps xmlns:a14="http://schemas.microsoft.com/office/drawing/2010/main">
                            <a14:imgLayer r:embed="rId32">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6"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6"/>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7"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7"/>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4AB0A5" w14:textId="77777777" w:rsidR="0060002E" w:rsidRDefault="0060002E" w:rsidP="00DB0344">
      <w:r>
        <w:separator/>
      </w:r>
    </w:p>
    <w:p w14:paraId="66678DD2" w14:textId="77777777" w:rsidR="0060002E" w:rsidRDefault="0060002E"/>
  </w:endnote>
  <w:endnote w:type="continuationSeparator" w:id="0">
    <w:p w14:paraId="1C791A42" w14:textId="77777777" w:rsidR="0060002E" w:rsidRDefault="0060002E" w:rsidP="00DB0344">
      <w:r>
        <w:continuationSeparator/>
      </w:r>
    </w:p>
    <w:p w14:paraId="6CF109AD" w14:textId="77777777" w:rsidR="0060002E" w:rsidRDefault="006000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B26879" w:rsidRDefault="00B26879"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B26879" w:rsidRDefault="00B26879"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B26879" w:rsidRDefault="00B26879"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B26879" w:rsidRDefault="00B26879"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B26879" w:rsidRDefault="00B26879"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B26879" w:rsidRDefault="00B26879"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B26879" w:rsidRDefault="00B26879"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B26879" w:rsidRDefault="00B26879"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E4DAA1" w14:textId="77777777" w:rsidR="0060002E" w:rsidRDefault="0060002E" w:rsidP="00DB0344">
      <w:r>
        <w:separator/>
      </w:r>
    </w:p>
  </w:footnote>
  <w:footnote w:type="continuationSeparator" w:id="0">
    <w:p w14:paraId="611DE267" w14:textId="77777777" w:rsidR="0060002E" w:rsidRDefault="0060002E" w:rsidP="00DB0344">
      <w:r>
        <w:continuationSeparator/>
      </w:r>
    </w:p>
  </w:footnote>
  <w:footnote w:type="continuationNotice" w:id="1">
    <w:p w14:paraId="1A353698" w14:textId="77777777" w:rsidR="0060002E" w:rsidRPr="00E4363C" w:rsidRDefault="0060002E"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B26879" w:rsidRDefault="00B26879"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B26879" w:rsidRDefault="00B26879">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B26879" w:rsidRDefault="00B26879"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B26879" w:rsidRDefault="00B26879"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B26879" w:rsidRPr="002A7F45" w:rsidRDefault="00B26879"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B26879" w:rsidRPr="00517533" w:rsidRDefault="00B26879"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35CF8A0"/>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C7AA552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EE63E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E965E1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520A07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02AAAB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B14C6D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DAAA3B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DCCCC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5872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02E"/>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footer" Target="footer5.xm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emf"/><Relationship Id="rId29"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4.xml"/><Relationship Id="rId32"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header" Target="header6.xml"/><Relationship Id="rId28" Type="http://schemas.openxmlformats.org/officeDocument/2006/relationships/image" Target="media/image10.jpeg"/><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7.png"/><Relationship Id="rId27" Type="http://schemas.openxmlformats.org/officeDocument/2006/relationships/image" Target="media/image9.jpeg"/><Relationship Id="rId30" Type="http://schemas.openxmlformats.org/officeDocument/2006/relationships/image" Target="media/image12.jpeg"/><Relationship Id="rId8" Type="http://schemas.openxmlformats.org/officeDocument/2006/relationships/image" Target="media/image1.tif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124</Pages>
  <Words>37602</Words>
  <Characters>214334</Characters>
  <Application>Microsoft Office Word</Application>
  <DocSecurity>0</DocSecurity>
  <Lines>1786</Lines>
  <Paragraphs>502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251434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2021-04-04T14:42:00Z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